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3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30" w:lineRule="exact"/>
        <w:ind w:right="0" w:rightChars="0"/>
        <w:jc w:val="center"/>
        <w:textAlignment w:val="auto"/>
        <w:outlineLvl w:val="9"/>
        <w:rPr>
          <w:rFonts w:hint="default"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区委政研室2020年度课题</w:t>
      </w:r>
    </w:p>
    <w:p>
      <w:pPr>
        <w:pStyle w:val="3"/>
        <w:keepNext w:val="0"/>
        <w:keepLines w:val="0"/>
        <w:pageBreakBefore w:val="0"/>
        <w:widowControl w:val="0"/>
        <w:kinsoku/>
        <w:wordWrap/>
        <w:overflowPunct/>
        <w:topLinePunct w:val="0"/>
        <w:autoSpaceDE/>
        <w:bidi w:val="0"/>
        <w:adjustRightInd w:val="0"/>
        <w:snapToGrid w:val="0"/>
        <w:spacing w:line="530" w:lineRule="exact"/>
        <w:ind w:right="0" w:rightChars="0"/>
        <w:textAlignment w:val="auto"/>
        <w:rPr>
          <w:rFonts w:hint="default"/>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1.龙岗区推进新型基础设施建设策略研究</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eastAsia="zh-CN"/>
        </w:rPr>
        <w:t>立足新冠肺炎疫情对全球经济带来“强干扰”的大背景，从“</w:t>
      </w:r>
      <w:r>
        <w:rPr>
          <w:rFonts w:hint="eastAsia" w:ascii="仿宋_GB2312" w:hAnsi="仿宋_GB2312" w:eastAsia="仿宋_GB2312" w:cs="仿宋_GB2312"/>
          <w:sz w:val="32"/>
          <w:szCs w:val="32"/>
          <w:lang w:val="en-US" w:eastAsia="zh-CN"/>
        </w:rPr>
        <w:t>新基建</w:t>
      </w:r>
      <w:r>
        <w:rPr>
          <w:rFonts w:hint="eastAsia" w:ascii="仿宋_GB2312" w:hAnsi="仿宋_GB2312" w:eastAsia="仿宋_GB2312" w:cs="仿宋_GB2312"/>
          <w:sz w:val="32"/>
          <w:szCs w:val="32"/>
          <w:lang w:eastAsia="zh-CN"/>
        </w:rPr>
        <w:t>”支撑龙岗经济高质量发展、加快培育新动能的视角，结合龙岗区</w:t>
      </w:r>
      <w:r>
        <w:rPr>
          <w:rFonts w:hint="eastAsia" w:ascii="仿宋_GB2312" w:hAnsi="仿宋_GB2312" w:eastAsia="仿宋_GB2312" w:cs="仿宋_GB2312"/>
          <w:sz w:val="32"/>
          <w:szCs w:val="32"/>
          <w:lang w:val="en-US" w:eastAsia="zh-CN"/>
        </w:rPr>
        <w:t>发展战略、</w:t>
      </w:r>
      <w:r>
        <w:rPr>
          <w:rFonts w:hint="eastAsia" w:ascii="仿宋_GB2312" w:hAnsi="仿宋_GB2312" w:eastAsia="仿宋_GB2312" w:cs="仿宋_GB2312"/>
          <w:sz w:val="32"/>
          <w:szCs w:val="32"/>
          <w:lang w:eastAsia="zh-CN"/>
        </w:rPr>
        <w:t>产业及企业特点，通过梳理当前龙岗区加快推进“新基建”的发展优势、现实基础，深入剖析制约龙岗区“新基建”</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eastAsia="zh-CN"/>
        </w:rPr>
        <w:t>的突出问题，提出具有龙岗特色的“新基建”建设策略</w:t>
      </w:r>
      <w:r>
        <w:rPr>
          <w:rFonts w:hint="eastAsia" w:ascii="仿宋_GB2312" w:hAnsi="仿宋_GB2312" w:eastAsia="仿宋_GB2312" w:cs="仿宋_GB2312"/>
          <w:sz w:val="32"/>
          <w:szCs w:val="32"/>
          <w:lang w:val="en-US" w:eastAsia="zh-CN"/>
        </w:rPr>
        <w:t>并梳理相关</w:t>
      </w:r>
      <w:r>
        <w:rPr>
          <w:rFonts w:hint="eastAsia" w:ascii="仿宋_GB2312" w:hAnsi="仿宋_GB2312" w:eastAsia="仿宋_GB2312" w:cs="仿宋_GB2312"/>
          <w:sz w:val="32"/>
          <w:szCs w:val="32"/>
          <w:lang w:eastAsia="zh-CN"/>
        </w:rPr>
        <w:t>领域的重点项目。</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人民币30万元以内。</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2.全球新冠肺炎疫情对龙岗产业发展影响及对策研究</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b w:val="0"/>
          <w:bCs w:val="0"/>
          <w:sz w:val="32"/>
          <w:szCs w:val="32"/>
          <w:lang w:val="en-US" w:eastAsia="zh-CN"/>
        </w:rPr>
        <w:t>基于</w:t>
      </w:r>
      <w:r>
        <w:rPr>
          <w:rFonts w:hint="eastAsia" w:ascii="仿宋_GB2312" w:hAnsi="仿宋_GB2312" w:eastAsia="仿宋_GB2312" w:cs="仿宋_GB2312"/>
          <w:kern w:val="2"/>
          <w:sz w:val="32"/>
          <w:szCs w:val="32"/>
          <w:lang w:val="en-US" w:eastAsia="zh-CN" w:bidi="ar-SA"/>
        </w:rPr>
        <w:t>全球新冠肺炎疫情对经济与产业发展带来严重冲击的新形势，研究本次新冠肺炎疫情对龙岗经济及产业发展的短期冲击与长期影响，分析新冠肺炎疫情背景下全球经济与产业变革发展基本趋势，</w:t>
      </w:r>
      <w:r>
        <w:rPr>
          <w:rFonts w:hint="eastAsia" w:ascii="仿宋_GB2312" w:eastAsia="仿宋_GB2312"/>
          <w:strike w:val="0"/>
          <w:dstrike w:val="0"/>
          <w:sz w:val="32"/>
          <w:szCs w:val="32"/>
          <w:u w:val="none"/>
          <w:lang w:val="en-US" w:eastAsia="zh-CN"/>
        </w:rPr>
        <w:t>提出龙岗区当前和未来一段时期产业发展着力点与产业政策建议</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人民币25万元以内。</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3.2020年龙岗区企业发展动态研究</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聚焦龙岗区企业发展动态研究，定期跟踪龙岗区新设立企业情况、企业迁入与迁出、投资来源、投资规模等统计信息，研究分析龙岗区企业的经营周期、相关行业动态及产业结构调整等情况，与</w:t>
      </w:r>
      <w:r>
        <w:rPr>
          <w:rFonts w:hint="eastAsia" w:ascii="仿宋_GB2312" w:hAnsi="仿宋_GB2312" w:eastAsia="仿宋_GB2312" w:cs="仿宋_GB2312"/>
          <w:sz w:val="32"/>
          <w:szCs w:val="32"/>
          <w:lang w:val="en-US" w:eastAsia="zh-CN"/>
        </w:rPr>
        <w:t>全市及</w:t>
      </w:r>
      <w:r>
        <w:rPr>
          <w:rFonts w:hint="eastAsia" w:ascii="仿宋_GB2312" w:hAnsi="仿宋_GB2312" w:eastAsia="仿宋_GB2312" w:cs="仿宋_GB2312"/>
          <w:sz w:val="32"/>
          <w:szCs w:val="32"/>
        </w:rPr>
        <w:t>其他区进行比对分析，以月报、季报、年报形式提出龙岗区企业动态情况分析报告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本研究周期为2020年9月-2020年12月的4个月度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人民币9万元以内。</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龙岗区物业服务企业参与基层治理策略路径研究</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根据龙岗区</w:t>
      </w:r>
      <w:r>
        <w:rPr>
          <w:rFonts w:hint="eastAsia" w:ascii="仿宋_GB2312" w:hAnsi="仿宋_GB2312" w:eastAsia="仿宋_GB2312" w:cs="仿宋_GB2312"/>
          <w:sz w:val="32"/>
          <w:szCs w:val="32"/>
        </w:rPr>
        <w:t>进一步发挥物业服务企业在基层治理中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作用的</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结合落实新修订施行的</w:t>
      </w:r>
      <w:r>
        <w:rPr>
          <w:rFonts w:hint="default" w:ascii="仿宋_GB2312" w:hAnsi="仿宋_GB2312" w:eastAsia="仿宋_GB2312" w:cs="仿宋_GB2312"/>
          <w:sz w:val="32"/>
          <w:szCs w:val="32"/>
          <w:lang w:val="en-US" w:eastAsia="zh-CN"/>
        </w:rPr>
        <w:t>《深圳经济特区物业管理条例》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围绕“物业+党建”“物业+安全”“物业+服务”“物业+调解”等领域，研究</w:t>
      </w:r>
      <w:r>
        <w:rPr>
          <w:rFonts w:hint="eastAsia" w:ascii="仿宋_GB2312" w:hAnsi="仿宋_GB2312" w:eastAsia="仿宋_GB2312" w:cs="仿宋_GB2312"/>
          <w:sz w:val="32"/>
          <w:szCs w:val="32"/>
          <w:lang w:val="en-US" w:eastAsia="zh-CN"/>
        </w:rPr>
        <w:t>龙岗</w:t>
      </w:r>
      <w:r>
        <w:rPr>
          <w:rFonts w:hint="eastAsia" w:ascii="仿宋_GB2312" w:hAnsi="仿宋_GB2312" w:eastAsia="仿宋_GB2312" w:cs="仿宋_GB2312"/>
          <w:sz w:val="32"/>
          <w:szCs w:val="32"/>
        </w:rPr>
        <w:t>物业服务企业参与基层治理的方式、路径、机制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人民币20万元以内。</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5.龙岗区</w:t>
      </w:r>
      <w:r>
        <w:rPr>
          <w:rFonts w:hint="default" w:ascii="黑体" w:hAnsi="黑体" w:eastAsia="黑体" w:cs="黑体"/>
          <w:sz w:val="32"/>
          <w:szCs w:val="32"/>
          <w:lang w:val="en-US" w:eastAsia="zh-CN"/>
        </w:rPr>
        <w:t>行业协会商会</w:t>
      </w:r>
      <w:r>
        <w:rPr>
          <w:rFonts w:hint="eastAsia" w:ascii="黑体" w:hAnsi="黑体" w:eastAsia="黑体" w:cs="黑体"/>
          <w:sz w:val="32"/>
          <w:szCs w:val="32"/>
          <w:lang w:val="en-US" w:eastAsia="zh-CN"/>
        </w:rPr>
        <w:t>发展现状调研</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调研龙岗区行业协会商会发展情况，分析其发展面临的突出问题，研究提出针对性的政策建议，为加强行业协会商会建设、发挥桥梁纽带作用、维护行业市场秩序、推广新模式新业态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b w:val="0"/>
          <w:bCs w:val="0"/>
          <w:sz w:val="32"/>
          <w:szCs w:val="32"/>
          <w:lang w:val="en-US" w:eastAsia="zh-CN"/>
        </w:rPr>
        <w:t>方面提供决策支撑。</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人民币20万元以内。</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6.优化营商环境改革实施情况第三方评估</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研究内容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中共深圳市龙岗区委</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深圳市龙岗区人民政府</w:t>
      </w:r>
      <w:r>
        <w:rPr>
          <w:rFonts w:hint="eastAsia" w:ascii="仿宋_GB2312" w:hAnsi="仿宋_GB2312" w:eastAsia="仿宋_GB2312" w:cs="仿宋_GB2312"/>
          <w:bCs/>
          <w:spacing w:val="-10"/>
          <w:w w:val="102"/>
          <w:sz w:val="32"/>
          <w:szCs w:val="32"/>
        </w:rPr>
        <w:t>关于优化</w:t>
      </w:r>
      <w:r>
        <w:rPr>
          <w:rFonts w:hint="eastAsia" w:ascii="仿宋_GB2312" w:hAnsi="仿宋_GB2312" w:eastAsia="仿宋_GB2312" w:cs="仿宋_GB2312"/>
          <w:bCs/>
          <w:w w:val="102"/>
          <w:sz w:val="32"/>
          <w:szCs w:val="32"/>
        </w:rPr>
        <w:t>营商环境</w:t>
      </w:r>
      <w:r>
        <w:rPr>
          <w:rFonts w:hint="eastAsia" w:ascii="仿宋_GB2312" w:hAnsi="仿宋_GB2312" w:eastAsia="仿宋_GB2312" w:cs="仿宋_GB2312"/>
          <w:bCs/>
          <w:spacing w:val="-14"/>
          <w:sz w:val="32"/>
          <w:szCs w:val="32"/>
        </w:rPr>
        <w:t>深入推进深圳东部中心实体经济高质量发展</w:t>
      </w:r>
      <w:r>
        <w:rPr>
          <w:rFonts w:hint="eastAsia" w:ascii="仿宋_GB2312" w:hAnsi="仿宋_GB2312" w:eastAsia="仿宋_GB2312" w:cs="仿宋_GB2312"/>
          <w:bCs/>
          <w:sz w:val="32"/>
          <w:szCs w:val="32"/>
        </w:rPr>
        <w:t>的意见</w:t>
      </w:r>
      <w:r>
        <w:rPr>
          <w:rFonts w:hint="eastAsia" w:ascii="仿宋_GB2312" w:hAnsi="仿宋_GB2312" w:eastAsia="仿宋_GB2312" w:cs="仿宋_GB2312"/>
          <w:sz w:val="32"/>
          <w:szCs w:val="32"/>
          <w:lang w:eastAsia="zh-CN"/>
        </w:rPr>
        <w:t>》实施情况，</w:t>
      </w:r>
      <w:r>
        <w:rPr>
          <w:rFonts w:hint="eastAsia" w:ascii="仿宋_GB2312" w:hAnsi="仿宋_GB2312" w:eastAsia="仿宋_GB2312" w:cs="仿宋_GB2312"/>
          <w:sz w:val="32"/>
          <w:szCs w:val="32"/>
          <w:lang w:val="en-US" w:eastAsia="zh-CN"/>
        </w:rPr>
        <w:t>深入挖掘2018、2019年</w:t>
      </w:r>
      <w:r>
        <w:rPr>
          <w:rFonts w:hint="eastAsia" w:ascii="仿宋_GB2312" w:hAnsi="仿宋_GB2312" w:eastAsia="仿宋_GB2312" w:cs="仿宋_GB2312"/>
          <w:b w:val="0"/>
          <w:bCs w:val="0"/>
          <w:sz w:val="32"/>
          <w:szCs w:val="32"/>
          <w:lang w:eastAsia="zh-CN"/>
        </w:rPr>
        <w:t>优化营商环境</w:t>
      </w:r>
      <w:r>
        <w:rPr>
          <w:rFonts w:hint="eastAsia" w:ascii="仿宋_GB2312" w:hAnsi="仿宋_GB2312" w:eastAsia="仿宋_GB2312" w:cs="仿宋_GB2312"/>
          <w:sz w:val="32"/>
          <w:szCs w:val="32"/>
          <w:lang w:val="en-US" w:eastAsia="zh-CN"/>
        </w:rPr>
        <w:t>改革的成功经验和存在问题，</w:t>
      </w:r>
      <w:r>
        <w:rPr>
          <w:rFonts w:hint="eastAsia" w:ascii="仿宋_GB2312" w:hAnsi="仿宋_GB2312" w:eastAsia="仿宋_GB2312" w:cs="仿宋_GB2312"/>
          <w:sz w:val="32"/>
          <w:szCs w:val="32"/>
          <w:lang w:eastAsia="zh-CN"/>
        </w:rPr>
        <w:t>系统了解改革方案执行实施方面的具体做法、取得成绩和存在问题，深入研究营商环境改革落实流程、政策落实进度、改革成果评价和下一步对策建议。</w:t>
      </w:r>
    </w:p>
    <w:p>
      <w:pPr>
        <w:keepNext w:val="0"/>
        <w:keepLines w:val="0"/>
        <w:pageBreakBefore w:val="0"/>
        <w:widowControl w:val="0"/>
        <w:numPr>
          <w:ilvl w:val="0"/>
          <w:numId w:val="0"/>
        </w:numPr>
        <w:pBdr>
          <w:top w:val="none" w:color="000000" w:sz="0" w:space="0"/>
          <w:left w:val="none" w:color="000000" w:sz="0" w:space="0"/>
          <w:bottom w:val="none" w:color="000000" w:sz="0" w:space="19"/>
          <w:right w:val="none" w:color="000000" w:sz="0" w:space="2"/>
        </w:pBdr>
        <w:kinsoku/>
        <w:wordWrap/>
        <w:overflowPunct/>
        <w:topLinePunct w:val="0"/>
        <w:autoSpaceDE/>
        <w:autoSpaceDN w:val="0"/>
        <w:bidi w:val="0"/>
        <w:adjustRightInd w:val="0"/>
        <w:snapToGrid w:val="0"/>
        <w:spacing w:line="530" w:lineRule="exact"/>
        <w:ind w:right="0" w:rightChars="0"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课题经费：</w:t>
      </w:r>
      <w:r>
        <w:rPr>
          <w:rFonts w:hint="eastAsia" w:ascii="仿宋_GB2312" w:hAnsi="仿宋_GB2312" w:eastAsia="仿宋_GB2312" w:cs="仿宋_GB2312"/>
          <w:sz w:val="32"/>
          <w:szCs w:val="32"/>
          <w:lang w:val="en-US" w:eastAsia="zh-CN"/>
        </w:rPr>
        <w:t>人民币25万元以内。</w:t>
      </w:r>
      <w:bookmarkStart w:id="0" w:name="_GoBack"/>
      <w:bookmarkEnd w:id="0"/>
    </w:p>
    <w:sectPr>
      <w:footerReference r:id="rId3" w:type="default"/>
      <w:pgSz w:w="11906" w:h="16838"/>
      <w:pgMar w:top="1928" w:right="1474" w:bottom="1984" w:left="1587" w:header="851" w:footer="147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odoni PosterCompressed">
    <w:panose1 w:val="00000000000000000000"/>
    <w:charset w:val="00"/>
    <w:family w:val="auto"/>
    <w:pitch w:val="default"/>
    <w:sig w:usb0="00000000" w:usb1="00000000" w:usb2="00000000" w:usb3="00000000" w:csb0="00000000" w:csb1="00000000"/>
  </w:font>
  <w:font w:name="Bodoni Poster">
    <w:panose1 w:val="02070A04080905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C23B1"/>
    <w:rsid w:val="02433927"/>
    <w:rsid w:val="02E524F6"/>
    <w:rsid w:val="0355784D"/>
    <w:rsid w:val="04AF5415"/>
    <w:rsid w:val="059A4DD3"/>
    <w:rsid w:val="06884539"/>
    <w:rsid w:val="073234E4"/>
    <w:rsid w:val="07F3160A"/>
    <w:rsid w:val="07FB65DA"/>
    <w:rsid w:val="094B4DDE"/>
    <w:rsid w:val="0C0F3207"/>
    <w:rsid w:val="0F157FF8"/>
    <w:rsid w:val="0F621BF9"/>
    <w:rsid w:val="103C5587"/>
    <w:rsid w:val="10D0583A"/>
    <w:rsid w:val="152A05D7"/>
    <w:rsid w:val="16AB18B8"/>
    <w:rsid w:val="17554AB2"/>
    <w:rsid w:val="179F6A51"/>
    <w:rsid w:val="17D90680"/>
    <w:rsid w:val="1A256E32"/>
    <w:rsid w:val="1AAB2AF6"/>
    <w:rsid w:val="1BF20366"/>
    <w:rsid w:val="1E372411"/>
    <w:rsid w:val="1EFC4DBD"/>
    <w:rsid w:val="1F327A64"/>
    <w:rsid w:val="1FDE72A4"/>
    <w:rsid w:val="20E01073"/>
    <w:rsid w:val="22E816C2"/>
    <w:rsid w:val="24D87EDB"/>
    <w:rsid w:val="251B05CD"/>
    <w:rsid w:val="259E2142"/>
    <w:rsid w:val="269F4DDA"/>
    <w:rsid w:val="26A8019D"/>
    <w:rsid w:val="28AC69DB"/>
    <w:rsid w:val="2AFD6702"/>
    <w:rsid w:val="2CFC693D"/>
    <w:rsid w:val="2DF97193"/>
    <w:rsid w:val="2EEB3AFE"/>
    <w:rsid w:val="2F807BE8"/>
    <w:rsid w:val="31B45EA8"/>
    <w:rsid w:val="328640EA"/>
    <w:rsid w:val="32EA1407"/>
    <w:rsid w:val="339346E7"/>
    <w:rsid w:val="33B54135"/>
    <w:rsid w:val="34824C8A"/>
    <w:rsid w:val="34F16D7B"/>
    <w:rsid w:val="35C96149"/>
    <w:rsid w:val="3A602DBC"/>
    <w:rsid w:val="3A713F23"/>
    <w:rsid w:val="3AC06296"/>
    <w:rsid w:val="3B841181"/>
    <w:rsid w:val="3E520A97"/>
    <w:rsid w:val="3EA753B3"/>
    <w:rsid w:val="40BF4407"/>
    <w:rsid w:val="417D4DCB"/>
    <w:rsid w:val="47AD27CD"/>
    <w:rsid w:val="48BD0901"/>
    <w:rsid w:val="49FF6DE1"/>
    <w:rsid w:val="4A4A115A"/>
    <w:rsid w:val="4D256303"/>
    <w:rsid w:val="4DC523DF"/>
    <w:rsid w:val="4F116065"/>
    <w:rsid w:val="500D1EB1"/>
    <w:rsid w:val="53CD3772"/>
    <w:rsid w:val="54530E34"/>
    <w:rsid w:val="57D45089"/>
    <w:rsid w:val="5A7467E4"/>
    <w:rsid w:val="5B5577DC"/>
    <w:rsid w:val="5B5843C1"/>
    <w:rsid w:val="5C940FFB"/>
    <w:rsid w:val="5DA36DE4"/>
    <w:rsid w:val="5E4C23B1"/>
    <w:rsid w:val="5FE56915"/>
    <w:rsid w:val="65926201"/>
    <w:rsid w:val="66933AB0"/>
    <w:rsid w:val="68262E20"/>
    <w:rsid w:val="68BB6DCB"/>
    <w:rsid w:val="69785AC2"/>
    <w:rsid w:val="697F3AEC"/>
    <w:rsid w:val="6A4E41EE"/>
    <w:rsid w:val="6A702ED6"/>
    <w:rsid w:val="6BCB5D52"/>
    <w:rsid w:val="6FA518D1"/>
    <w:rsid w:val="6FF639CF"/>
    <w:rsid w:val="70BB5E00"/>
    <w:rsid w:val="75613044"/>
    <w:rsid w:val="759E3B32"/>
    <w:rsid w:val="760561AA"/>
    <w:rsid w:val="78AF4197"/>
    <w:rsid w:val="79956D28"/>
    <w:rsid w:val="79DF08AF"/>
    <w:rsid w:val="7E024596"/>
    <w:rsid w:val="7EEB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szCs w:val="21"/>
    </w:rPr>
  </w:style>
  <w:style w:type="paragraph" w:styleId="3">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666666"/>
      <w:u w:val="none"/>
    </w:rPr>
  </w:style>
  <w:style w:type="character" w:styleId="12">
    <w:name w:val="Emphasis"/>
    <w:basedOn w:val="9"/>
    <w:qFormat/>
    <w:uiPriority w:val="0"/>
    <w:rPr>
      <w:color w:val="CC0000"/>
    </w:rPr>
  </w:style>
  <w:style w:type="character" w:styleId="13">
    <w:name w:val="Hyperlink"/>
    <w:basedOn w:val="9"/>
    <w:qFormat/>
    <w:uiPriority w:val="0"/>
    <w:rPr>
      <w:color w:val="666666"/>
      <w:u w:val="none"/>
    </w:rPr>
  </w:style>
  <w:style w:type="character" w:styleId="14">
    <w:name w:val="HTML Cite"/>
    <w:basedOn w:val="9"/>
    <w:qFormat/>
    <w:uiPriority w:val="0"/>
    <w:rPr>
      <w:color w:val="008000"/>
    </w:rPr>
  </w:style>
  <w:style w:type="character" w:customStyle="1" w:styleId="16">
    <w:name w:val="c-icon"/>
    <w:basedOn w:val="9"/>
    <w:qFormat/>
    <w:uiPriority w:val="0"/>
  </w:style>
  <w:style w:type="character" w:customStyle="1" w:styleId="17">
    <w:name w:val="bsharetext"/>
    <w:basedOn w:val="9"/>
    <w:qFormat/>
    <w:uiPriority w:val="0"/>
  </w:style>
  <w:style w:type="paragraph" w:customStyle="1" w:styleId="18">
    <w:name w:val="_Style 15"/>
    <w:basedOn w:val="1"/>
    <w:next w:val="1"/>
    <w:qFormat/>
    <w:uiPriority w:val="0"/>
    <w:pPr>
      <w:pBdr>
        <w:bottom w:val="single" w:color="auto" w:sz="6" w:space="1"/>
      </w:pBdr>
      <w:jc w:val="center"/>
    </w:pPr>
    <w:rPr>
      <w:rFonts w:ascii="Arial" w:eastAsia="宋体"/>
      <w:vanish/>
      <w:sz w:val="16"/>
    </w:rPr>
  </w:style>
  <w:style w:type="paragraph" w:customStyle="1" w:styleId="19">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2020-04-14T01:57:00Z</dcterms:created>
  <dc:creator>姚蕾</dc:creator>
  <cp:lastModifiedBy>杨泽</cp:lastModifiedBy>
  <cp:lastPrinted>2020-04-23T06:27:00Z</cp:lastPrinted>
  <dcterms:modified xsi:type="dcterms:W3CDTF">2020-06-03T08:06:55Z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